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p>
    <w:p>
      <w:pPr>
        <w:widowControl/>
        <w:tabs>
          <w:tab w:val="left" w:pos="432"/>
        </w:tabs>
        <w:jc w:val="center"/>
        <w:rPr>
          <w:rFonts w:hint="default" w:ascii="Times New Roman" w:hAnsi="Times New Roman" w:cs="Times New Roman"/>
        </w:rPr>
      </w:pPr>
      <w:r>
        <w:rPr>
          <w:rFonts w:ascii="Times New Roman" w:hAnsi="Times New Roman" w:eastAsia="方正小标宋_GBK" w:cs="Times New Roman"/>
          <w:b/>
          <w:color w:val="000000"/>
          <w:kern w:val="0"/>
          <w:sz w:val="44"/>
          <w:szCs w:val="44"/>
          <w:lang w:bidi="ar"/>
        </w:rPr>
        <w:t>项目投资监管协议</w:t>
      </w:r>
      <w:r>
        <w:rPr>
          <w:rFonts w:hint="default" w:ascii="Times New Roman" w:hAnsi="Times New Roman" w:eastAsia="方正小标宋_GBK" w:cs="Times New Roman"/>
          <w:b/>
          <w:color w:val="000000"/>
          <w:kern w:val="0"/>
          <w:sz w:val="44"/>
          <w:szCs w:val="44"/>
          <w:lang w:bidi="ar"/>
        </w:rPr>
        <w:t>书</w:t>
      </w:r>
    </w:p>
    <w:p>
      <w:pPr>
        <w:pStyle w:val="2"/>
        <w:numPr>
          <w:ilvl w:val="0"/>
          <w:numId w:val="0"/>
        </w:numPr>
        <w:jc w:val="center"/>
        <w:rPr>
          <w:rFonts w:ascii="Times New Roman" w:hAnsi="Times New Roman" w:cs="Times New Roman"/>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both"/>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kern w:val="0"/>
          <w:sz w:val="32"/>
          <w:szCs w:val="32"/>
          <w:lang w:bidi="ar"/>
        </w:rPr>
        <w:t>（一） 宗地位置： 惠州新材料产业园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auto"/>
          <w:kern w:val="0"/>
          <w:sz w:val="32"/>
          <w:szCs w:val="32"/>
          <w:lang w:bidi="ar"/>
        </w:rPr>
        <w:t>白花镇漠岭村地段</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both"/>
        <w:rPr>
          <w:rFonts w:hint="default" w:ascii="Times New Roman" w:hAnsi="Times New Roman" w:eastAsia="仿宋_GB2312" w:cs="Times New Roman"/>
          <w:color w:val="auto"/>
          <w:kern w:val="0"/>
          <w:sz w:val="32"/>
          <w:szCs w:val="32"/>
          <w:highlight w:val="green"/>
          <w:lang w:bidi="ar"/>
        </w:rPr>
      </w:pPr>
      <w:r>
        <w:rPr>
          <w:rFonts w:hint="default" w:ascii="Times New Roman" w:hAnsi="Times New Roman" w:eastAsia="仿宋_GB2312" w:cs="Times New Roman"/>
          <w:color w:val="000000"/>
          <w:kern w:val="0"/>
          <w:sz w:val="32"/>
          <w:szCs w:val="32"/>
          <w:lang w:bidi="ar"/>
        </w:rPr>
        <w:t xml:space="preserve">（三） 用地面积： </w:t>
      </w:r>
      <w:r>
        <w:rPr>
          <w:rFonts w:hint="default" w:ascii="Times New Roman" w:hAnsi="Times New Roman" w:eastAsia="仿宋" w:cs="Times New Roman"/>
          <w:color w:val="auto"/>
          <w:sz w:val="32"/>
          <w:szCs w:val="32"/>
          <w:lang w:eastAsia="zh-CN"/>
        </w:rPr>
        <w:t>1</w:t>
      </w:r>
      <w:r>
        <w:rPr>
          <w:rFonts w:hint="default" w:ascii="Times New Roman" w:hAnsi="Times New Roman" w:eastAsia="仿宋" w:cs="Times New Roman"/>
          <w:color w:val="auto"/>
          <w:sz w:val="32"/>
          <w:szCs w:val="32"/>
          <w:lang w:val="en-US" w:eastAsia="zh-CN"/>
        </w:rPr>
        <w:t>8085.24</w:t>
      </w:r>
      <w:r>
        <w:rPr>
          <w:rFonts w:hint="default" w:ascii="Times New Roman" w:hAnsi="Times New Roman" w:eastAsia="仿宋" w:cs="Times New Roman"/>
          <w:color w:val="auto"/>
          <w:sz w:val="32"/>
          <w:szCs w:val="32"/>
        </w:rPr>
        <w:t>平方米</w:t>
      </w:r>
    </w:p>
    <w:p>
      <w:pPr>
        <w:spacing w:line="580" w:lineRule="exact"/>
        <w:ind w:firstLine="64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kern w:val="0"/>
          <w:sz w:val="32"/>
          <w:szCs w:val="32"/>
          <w:lang w:bidi="ar"/>
        </w:rPr>
        <w:t>第二条 乙方拟在上述地块投资建设</w:t>
      </w:r>
      <w:r>
        <w:rPr>
          <w:rFonts w:hint="default" w:ascii="Times New Roman" w:hAnsi="Times New Roman" w:eastAsia="仿宋" w:cs="Times New Roman"/>
          <w:color w:val="auto"/>
          <w:kern w:val="0"/>
          <w:sz w:val="32"/>
          <w:szCs w:val="32"/>
          <w:highlight w:val="none"/>
          <w:u w:val="none"/>
          <w:lang w:bidi="ar"/>
        </w:rPr>
        <w:t>有机硅改性新材料</w:t>
      </w:r>
      <w:r>
        <w:rPr>
          <w:rFonts w:hint="default" w:ascii="Times New Roman" w:hAnsi="Times New Roman" w:eastAsia="仿宋" w:cs="Times New Roman"/>
          <w:color w:val="auto"/>
          <w:kern w:val="0"/>
          <w:sz w:val="32"/>
          <w:szCs w:val="32"/>
          <w:u w:val="none"/>
          <w:lang w:val="en-US" w:eastAsia="zh-CN" w:bidi="ar"/>
        </w:rPr>
        <w:t>项目</w:t>
      </w:r>
      <w:r>
        <w:rPr>
          <w:rFonts w:hint="default" w:ascii="Times New Roman" w:hAnsi="Times New Roman" w:eastAsia="仿宋_GB2312" w:cs="Times New Roman"/>
          <w:color w:val="auto"/>
          <w:kern w:val="0"/>
          <w:sz w:val="32"/>
          <w:szCs w:val="32"/>
          <w:lang w:bidi="ar"/>
        </w:rPr>
        <w:t>（以下简称“项目”），项目建成投产后主要生产经营包括但</w:t>
      </w:r>
      <w:r>
        <w:rPr>
          <w:rFonts w:hint="default" w:ascii="Times New Roman" w:hAnsi="Times New Roman" w:eastAsia="仿宋_GB2312" w:cs="Times New Roman"/>
          <w:color w:val="auto"/>
          <w:kern w:val="0"/>
          <w:sz w:val="32"/>
          <w:szCs w:val="32"/>
          <w:lang w:val="en-US" w:eastAsia="zh-CN" w:bidi="ar"/>
        </w:rPr>
        <w:t>不限</w:t>
      </w:r>
      <w:r>
        <w:rPr>
          <w:rFonts w:hint="default" w:ascii="Times New Roman" w:hAnsi="Times New Roman" w:eastAsia="仿宋" w:cs="Times New Roman"/>
          <w:color w:val="auto"/>
          <w:kern w:val="0"/>
          <w:sz w:val="32"/>
          <w:szCs w:val="32"/>
          <w:u w:val="none"/>
          <w:lang w:val="en-US" w:eastAsia="zh-CN" w:bidi="ar"/>
        </w:rPr>
        <w:t>于</w:t>
      </w:r>
      <w:r>
        <w:rPr>
          <w:rFonts w:hint="default" w:ascii="Times New Roman" w:hAnsi="Times New Roman" w:eastAsia="仿宋" w:cs="Times New Roman"/>
          <w:color w:val="auto"/>
          <w:kern w:val="0"/>
          <w:sz w:val="32"/>
          <w:szCs w:val="32"/>
          <w:highlight w:val="none"/>
          <w:u w:val="none"/>
          <w:lang w:bidi="ar"/>
        </w:rPr>
        <w:t>有机硅改性聚氨酯树脂(硅PU树脂）、有机硅改性聚氨酯分散体（硅PUD树脂）、有机硅改性丙烯酸树脂（硅PA树脂）、有机硅改性PUA乳液（硅PUA乳液）、硅TPU树脂等</w:t>
      </w:r>
      <w:r>
        <w:rPr>
          <w:rFonts w:hint="default" w:ascii="Times New Roman" w:hAnsi="Times New Roman" w:eastAsia="仿宋" w:cs="Times New Roman"/>
          <w:color w:val="auto"/>
          <w:kern w:val="0"/>
          <w:sz w:val="32"/>
          <w:szCs w:val="32"/>
          <w:u w:val="none"/>
          <w:lang w:val="en-US" w:eastAsia="zh-CN"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第三条 乙方股东承诺注册资本不低于</w:t>
      </w:r>
      <w:r>
        <w:rPr>
          <w:rFonts w:hint="default" w:ascii="Times New Roman" w:hAnsi="Times New Roman" w:eastAsia="仿宋" w:cs="Times New Roman"/>
          <w:color w:val="000000"/>
          <w:kern w:val="0"/>
          <w:sz w:val="32"/>
          <w:szCs w:val="32"/>
          <w:highlight w:val="none"/>
          <w:u w:val="none"/>
          <w:lang w:val="en-US" w:eastAsia="zh-CN" w:bidi="ar"/>
        </w:rPr>
        <w:t>5000</w:t>
      </w:r>
      <w:r>
        <w:rPr>
          <w:rFonts w:hint="default" w:ascii="Times New Roman" w:hAnsi="Times New Roman" w:eastAsia="仿宋_GB2312" w:cs="Times New Roman"/>
          <w:color w:val="000000"/>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rPr>
        <w:t>发证手续</w:t>
      </w:r>
      <w:r>
        <w:rPr>
          <w:rFonts w:hint="default" w:ascii="Times New Roman" w:hAnsi="Times New Roman" w:eastAsia="仿宋_GB2312" w:cs="Times New Roman"/>
          <w:color w:val="000000"/>
          <w:kern w:val="0"/>
          <w:sz w:val="32"/>
          <w:szCs w:val="32"/>
          <w:lang w:bidi="ar"/>
        </w:rPr>
        <w:t>；乙方股东对项目公司履行本协议的义务向甲方承担连带责任。</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第四条 项目自《国有建设用地使用权出让合同》约定的宗地交付日期起计6个月内开工建设，建筑系数不低于40%。</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第五条 项目自《国有建设用地使用权出让合同》约定的宗地交付日期起计，</w:t>
      </w:r>
      <w:r>
        <w:rPr>
          <w:rFonts w:hint="default" w:ascii="Times New Roman" w:hAnsi="Times New Roman" w:eastAsia="仿宋_GB2312" w:cs="Times New Roman"/>
          <w:color w:val="auto"/>
          <w:kern w:val="0"/>
          <w:sz w:val="32"/>
          <w:szCs w:val="32"/>
          <w:u w:val="none"/>
          <w:lang w:val="en-US" w:eastAsia="zh-CN" w:bidi="ar"/>
        </w:rPr>
        <w:t>24</w:t>
      </w:r>
      <w:r>
        <w:rPr>
          <w:rFonts w:hint="default" w:ascii="Times New Roman" w:hAnsi="Times New Roman" w:eastAsia="仿宋_GB2312" w:cs="Times New Roman"/>
          <w:color w:val="000000"/>
          <w:kern w:val="0"/>
          <w:sz w:val="32"/>
          <w:szCs w:val="32"/>
          <w:lang w:bidi="ar"/>
        </w:rPr>
        <w:t>月内完成项目竣工验收（竣工日期以项目完成竣工验收备案之日为准）。</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第六条 乙方承诺：项目达产后，固定资产投资达到</w:t>
      </w:r>
      <w:r>
        <w:rPr>
          <w:rFonts w:hint="default" w:ascii="Times New Roman" w:hAnsi="Times New Roman" w:eastAsia="仿宋_GB2312" w:cs="Times New Roman"/>
          <w:color w:val="auto"/>
          <w:kern w:val="0"/>
          <w:sz w:val="32"/>
          <w:szCs w:val="32"/>
          <w:u w:val="none"/>
          <w:lang w:val="en-US" w:eastAsia="zh-CN" w:bidi="ar"/>
        </w:rPr>
        <w:t>7596</w:t>
      </w:r>
      <w:r>
        <w:rPr>
          <w:rFonts w:hint="default" w:ascii="Times New Roman" w:hAnsi="Times New Roman" w:eastAsia="仿宋_GB2312" w:cs="Times New Roman"/>
          <w:color w:val="auto"/>
          <w:kern w:val="0"/>
          <w:sz w:val="32"/>
          <w:szCs w:val="32"/>
          <w:lang w:bidi="ar"/>
        </w:rPr>
        <w:t>万元</w:t>
      </w:r>
      <w:r>
        <w:rPr>
          <w:rFonts w:hint="default" w:ascii="Times New Roman" w:hAnsi="Times New Roman" w:eastAsia="仿宋_GB2312" w:cs="Times New Roman"/>
          <w:color w:val="000000"/>
          <w:kern w:val="0"/>
          <w:sz w:val="32"/>
          <w:szCs w:val="32"/>
          <w:lang w:bidi="ar"/>
        </w:rPr>
        <w:t>，单位土地面积上的投资强度不低于6000元/平方米，单位土地面积年产值不低于14000元/平方米，单位土地面积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lang w:bidi="ar"/>
        </w:rPr>
        <w:t>年度</w:t>
      </w:r>
      <w:r>
        <w:rPr>
          <w:rFonts w:hint="default" w:ascii="Times New Roman" w:hAnsi="Times New Roman" w:eastAsia="仿宋_GB2312" w:cs="Times New Roman"/>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bidi="ar"/>
        </w:rPr>
        <w:t>第八条</w:t>
      </w:r>
      <w:bookmarkStart w:id="0" w:name="OLE_LINK1"/>
      <w:bookmarkStart w:id="1" w:name="OLE_LINK2"/>
      <w:r>
        <w:rPr>
          <w:rFonts w:hint="default" w:ascii="Times New Roman" w:hAnsi="Times New Roman" w:eastAsia="仿宋_GB2312" w:cs="Times New Roman"/>
          <w:color w:val="000000"/>
          <w:kern w:val="0"/>
          <w:sz w:val="32"/>
          <w:szCs w:val="32"/>
          <w:lang w:bidi="ar"/>
        </w:rPr>
        <w:t xml:space="preserve"> 自本协议生效之日起</w:t>
      </w:r>
      <w:r>
        <w:rPr>
          <w:rFonts w:hint="default" w:ascii="Times New Roman" w:hAnsi="Times New Roman" w:eastAsia="仿宋_GB2312" w:cs="Times New Roman"/>
          <w:kern w:val="0"/>
          <w:sz w:val="32"/>
          <w:szCs w:val="32"/>
          <w:lang w:bidi="ar"/>
        </w:rPr>
        <w:t>五</w:t>
      </w:r>
      <w:r>
        <w:rPr>
          <w:rFonts w:hint="default" w:ascii="Times New Roman" w:hAnsi="Times New Roman" w:eastAsia="仿宋_GB2312" w:cs="Times New Roman"/>
          <w:color w:val="000000"/>
          <w:kern w:val="0"/>
          <w:sz w:val="32"/>
          <w:szCs w:val="32"/>
          <w:lang w:bidi="ar"/>
        </w:rPr>
        <w:t>年内，未经甲方书面批准，乙方不得将项目整体转让或者部分转让，项目不得对第三人承包。</w:t>
      </w:r>
      <w:r>
        <w:rPr>
          <w:rFonts w:hint="default" w:ascii="Times New Roman" w:hAnsi="Times New Roman" w:eastAsia="仿宋_GB2312" w:cs="Times New Roman"/>
          <w:sz w:val="32"/>
          <w:szCs w:val="32"/>
        </w:rPr>
        <w:t>经甲方书面同意项目公司股权或股份流转的，乙方</w:t>
      </w:r>
      <w:r>
        <w:rPr>
          <w:rFonts w:hint="default"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须确保对项目公司持股不低于51%，且实际控制人地位不发生变化。</w:t>
      </w:r>
      <w:r>
        <w:rPr>
          <w:rFonts w:hint="default" w:ascii="Times New Roman" w:hAnsi="Times New Roman" w:eastAsia="仿宋_GB2312" w:cs="Times New Roman"/>
          <w:kern w:val="0"/>
          <w:sz w:val="32"/>
          <w:szCs w:val="32"/>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第九条 甲方权利义务</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甲方指导和协助乙方开展相关工作，在合法范围内协助乙方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或项目公司解决项目建设及建成投产后经营过程中的问题。</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或项目公司违反本协议有关约定，甲方有权追究乙方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的违约责任。</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第十条 乙方权利义务</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lang w:bidi="ar"/>
        </w:rPr>
      </w:pPr>
      <w:bookmarkStart w:id="2" w:name="_Hlk53585080"/>
      <w:r>
        <w:rPr>
          <w:rFonts w:hint="default" w:ascii="Times New Roman" w:hAnsi="Times New Roman" w:eastAsia="仿宋_GB2312" w:cs="Times New Roman"/>
          <w:color w:val="000000"/>
          <w:kern w:val="0"/>
          <w:sz w:val="32"/>
          <w:szCs w:val="32"/>
          <w:lang w:bidi="ar"/>
        </w:rPr>
        <w:t>（三）乙方项目达产后1个月内，须书面向甲方报告达产时间及生产经营情况。</w:t>
      </w:r>
    </w:p>
    <w:bookmarkEnd w:id="2"/>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第十一条  违约责任</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因乙方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lang w:bidi="ar"/>
        </w:rPr>
        <w:t>且经甲方通知后乙方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lang w:bidi="ar"/>
        </w:rPr>
        <w:t>向乙方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或项目公司收取违约金：</w:t>
      </w:r>
    </w:p>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w:t>
      </w:r>
      <w:bookmarkStart w:id="4" w:name="_Hlk53585855"/>
      <w:r>
        <w:rPr>
          <w:rFonts w:hint="default" w:ascii="Times New Roman" w:hAnsi="Times New Roman" w:eastAsia="仿宋_GB2312" w:cs="Times New Roman"/>
          <w:kern w:val="0"/>
          <w:sz w:val="32"/>
          <w:szCs w:val="32"/>
          <w:lang w:bidi="ar"/>
        </w:rPr>
        <w:t xml:space="preserve"> </w:t>
      </w:r>
      <w:bookmarkEnd w:id="4"/>
      <w:r>
        <w:rPr>
          <w:rFonts w:hint="default" w:ascii="Times New Roman" w:hAnsi="Times New Roman" w:eastAsia="仿宋_GB2312" w:cs="Times New Roman"/>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both"/>
        <w:rPr>
          <w:rFonts w:hint="default" w:ascii="Times New Roman" w:hAnsi="Times New Roman" w:eastAsia="仿宋_GB2312" w:cs="Times New Roman"/>
          <w:kern w:val="0"/>
          <w:sz w:val="32"/>
          <w:szCs w:val="32"/>
          <w:lang w:bidi="ar"/>
        </w:rPr>
      </w:pPr>
      <w:bookmarkStart w:id="5" w:name="_Hlk53586162"/>
      <w:bookmarkStart w:id="6" w:name="OLE_LINK9"/>
      <w:r>
        <w:rPr>
          <w:rFonts w:hint="default" w:ascii="Times New Roman" w:hAnsi="Times New Roman" w:eastAsia="仿宋_GB2312" w:cs="Times New Roman"/>
          <w:kern w:val="0"/>
          <w:sz w:val="32"/>
          <w:szCs w:val="32"/>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 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或项目公司出现违约情形时，甲方将相关情况</w:t>
      </w:r>
      <w:r>
        <w:rPr>
          <w:rFonts w:hint="default" w:ascii="Times New Roman" w:hAnsi="Times New Roman" w:eastAsia="仿宋_GB2312" w:cs="Times New Roman"/>
          <w:color w:val="000000"/>
          <w:kern w:val="0"/>
          <w:sz w:val="32"/>
          <w:szCs w:val="32"/>
          <w:lang w:val="zh-CN" w:bidi="ar"/>
        </w:rPr>
        <w:t>纳入政府征信系统记录</w:t>
      </w:r>
      <w:r>
        <w:rPr>
          <w:rFonts w:hint="default" w:ascii="Times New Roman" w:hAnsi="Times New Roman" w:eastAsia="仿宋_GB2312" w:cs="Times New Roman"/>
          <w:color w:val="000000"/>
          <w:kern w:val="0"/>
          <w:sz w:val="32"/>
          <w:szCs w:val="32"/>
          <w:lang w:bidi="ar"/>
        </w:rPr>
        <w:t>，向社会公开发布。</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第十四条 本协议一式陆份，甲乙各方各执贰份，抄送</w:t>
      </w:r>
      <w:r>
        <w:rPr>
          <w:rFonts w:hint="default" w:ascii="Times New Roman" w:hAnsi="Times New Roman" w:eastAsia="仿宋_GB2312" w:cs="Times New Roman"/>
          <w:sz w:val="32"/>
          <w:szCs w:val="32"/>
        </w:rPr>
        <w:t>惠州市环大亚湾新区管理委员会</w:t>
      </w:r>
      <w:r>
        <w:rPr>
          <w:rFonts w:hint="default" w:ascii="Times New Roman" w:hAnsi="Times New Roman" w:eastAsia="仿宋_GB2312" w:cs="Times New Roman"/>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（以下无正文，仅为本协议的签字页）</w:t>
      </w:r>
    </w:p>
    <w:p>
      <w:pPr>
        <w:rPr>
          <w:rFonts w:hint="default" w:ascii="Times New Roman" w:hAnsi="Times New Roman" w:cs="Times New Roman"/>
        </w:rPr>
      </w:pPr>
    </w:p>
    <w:p>
      <w:pPr>
        <w:pStyle w:val="2"/>
        <w:numPr>
          <w:ilvl w:val="-1"/>
          <w:numId w:val="0"/>
        </w:numPr>
        <w:ind w:left="559" w:leftChars="233" w:firstLine="0" w:firstLineChars="0"/>
        <w:rPr>
          <w:rFonts w:hint="default" w:ascii="Times New Roman" w:hAnsi="Times New Roman" w:cs="Times New Roman"/>
        </w:rPr>
      </w:pPr>
    </w:p>
    <w:p>
      <w:pPr>
        <w:rPr>
          <w:rFonts w:hint="default"/>
        </w:rPr>
      </w:pPr>
      <w:bookmarkStart w:id="7" w:name="_GoBack"/>
      <w:bookmarkEnd w:id="7"/>
    </w:p>
    <w:tbl>
      <w:tblPr>
        <w:tblStyle w:val="22"/>
        <w:tblW w:w="4998" w:type="pct"/>
        <w:jc w:val="center"/>
        <w:tblLayout w:type="autofit"/>
        <w:tblCellMar>
          <w:top w:w="0" w:type="dxa"/>
          <w:left w:w="0" w:type="dxa"/>
          <w:bottom w:w="0" w:type="dxa"/>
          <w:right w:w="0" w:type="dxa"/>
        </w:tblCellMar>
      </w:tblPr>
      <w:tblGrid>
        <w:gridCol w:w="4285"/>
        <w:gridCol w:w="4018"/>
      </w:tblGrid>
      <w:tr>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widowControl/>
              <w:jc w:val="left"/>
              <w:rPr>
                <w:rFonts w:hint="default" w:ascii="Times New Roman" w:hAnsi="Times New Roman" w:eastAsia="仿宋_GB2312" w:cs="Times New Roman"/>
                <w:color w:val="000000"/>
                <w:kern w:val="0"/>
                <w:sz w:val="32"/>
                <w:szCs w:val="32"/>
                <w:lang w:bidi="ar"/>
              </w:rPr>
            </w:pP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r>
    </w:tbl>
    <w:p>
      <w:pPr>
        <w:pStyle w:val="2"/>
        <w:numPr>
          <w:ilvl w:val="0"/>
          <w:numId w:val="0"/>
        </w:numPr>
        <w:rPr>
          <w:rFonts w:hint="default" w:ascii="Times New Roman" w:hAnsi="Times New Roman" w:cs="Times New Roman"/>
        </w:rPr>
      </w:pPr>
    </w:p>
    <w:p>
      <w:pPr>
        <w:rPr>
          <w:rFonts w:hint="default" w:ascii="Times New Roman" w:hAnsi="Times New Roman" w:cs="Times New Roman"/>
        </w:rPr>
      </w:pPr>
    </w:p>
    <w:p>
      <w:pPr>
        <w:rPr>
          <w:rFonts w:ascii="Times New Roman" w:hAnsi="Times New Roman" w:eastAsia="方正仿宋_GBK" w:cs="Times New Roman"/>
          <w:sz w:val="32"/>
          <w:szCs w:val="32"/>
        </w:rPr>
      </w:pPr>
    </w:p>
    <w:p>
      <w:pPr>
        <w:widowControl/>
        <w:jc w:val="left"/>
        <w:rPr>
          <w:rFonts w:ascii="Times New Roman" w:hAnsi="Times New Roman" w:eastAsia="方正仿宋_GBK" w:cs="Times New Roman"/>
          <w:color w:val="000000"/>
          <w:kern w:val="0"/>
          <w:sz w:val="32"/>
          <w:szCs w:val="32"/>
          <w:lang w:bidi="ar"/>
        </w:rPr>
      </w:pPr>
    </w:p>
    <w:p>
      <w:pPr>
        <w:rPr>
          <w:rFonts w:ascii="Times New Roman" w:hAnsi="Times New Roman" w:eastAsia="方正仿宋_GBK" w:cs="Times New Roman"/>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30B6FCC"/>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4615DB"/>
    <w:rsid w:val="0FED2D2F"/>
    <w:rsid w:val="11A90CC1"/>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DF22E44"/>
    <w:rsid w:val="1E166302"/>
    <w:rsid w:val="1E345591"/>
    <w:rsid w:val="1F381612"/>
    <w:rsid w:val="1F483DB1"/>
    <w:rsid w:val="1FF85275"/>
    <w:rsid w:val="200842F5"/>
    <w:rsid w:val="20C01067"/>
    <w:rsid w:val="211728A2"/>
    <w:rsid w:val="215E4641"/>
    <w:rsid w:val="22163932"/>
    <w:rsid w:val="22D35AAA"/>
    <w:rsid w:val="23B74523"/>
    <w:rsid w:val="24BE21FA"/>
    <w:rsid w:val="25327039"/>
    <w:rsid w:val="2565527B"/>
    <w:rsid w:val="25D13B53"/>
    <w:rsid w:val="272C571F"/>
    <w:rsid w:val="27560C97"/>
    <w:rsid w:val="27802031"/>
    <w:rsid w:val="27A16627"/>
    <w:rsid w:val="29B30BF3"/>
    <w:rsid w:val="29C90E52"/>
    <w:rsid w:val="29F427D8"/>
    <w:rsid w:val="2A3D0C4A"/>
    <w:rsid w:val="2A797B1A"/>
    <w:rsid w:val="2A9C0796"/>
    <w:rsid w:val="2AC54DAE"/>
    <w:rsid w:val="2AFA6495"/>
    <w:rsid w:val="2B500672"/>
    <w:rsid w:val="2B977374"/>
    <w:rsid w:val="2BC01062"/>
    <w:rsid w:val="2BD6756E"/>
    <w:rsid w:val="2C024909"/>
    <w:rsid w:val="2C9F3C5B"/>
    <w:rsid w:val="2F014912"/>
    <w:rsid w:val="2F02397D"/>
    <w:rsid w:val="2F561A48"/>
    <w:rsid w:val="2F625E97"/>
    <w:rsid w:val="2F8B366C"/>
    <w:rsid w:val="2FB550F1"/>
    <w:rsid w:val="2FF50CD8"/>
    <w:rsid w:val="30F90354"/>
    <w:rsid w:val="314C7BAF"/>
    <w:rsid w:val="31A911FB"/>
    <w:rsid w:val="31DF6D18"/>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6DE7F59"/>
    <w:rsid w:val="575D35CB"/>
    <w:rsid w:val="57634F3F"/>
    <w:rsid w:val="57942F21"/>
    <w:rsid w:val="57C51425"/>
    <w:rsid w:val="57D6781A"/>
    <w:rsid w:val="58930F88"/>
    <w:rsid w:val="599252ED"/>
    <w:rsid w:val="5A710221"/>
    <w:rsid w:val="5A8B69BC"/>
    <w:rsid w:val="5AFD28E4"/>
    <w:rsid w:val="5B646AA4"/>
    <w:rsid w:val="5BD21160"/>
    <w:rsid w:val="5CD92E28"/>
    <w:rsid w:val="5CF9295E"/>
    <w:rsid w:val="5E0721D0"/>
    <w:rsid w:val="60A0620C"/>
    <w:rsid w:val="60C40842"/>
    <w:rsid w:val="6195106F"/>
    <w:rsid w:val="61CC6D23"/>
    <w:rsid w:val="622F0AA4"/>
    <w:rsid w:val="65202BFE"/>
    <w:rsid w:val="65480A8F"/>
    <w:rsid w:val="673158FA"/>
    <w:rsid w:val="678C7964"/>
    <w:rsid w:val="68E301E4"/>
    <w:rsid w:val="69125463"/>
    <w:rsid w:val="6A3B0DEE"/>
    <w:rsid w:val="6ADC7942"/>
    <w:rsid w:val="6AFE28D7"/>
    <w:rsid w:val="6B6B3180"/>
    <w:rsid w:val="6BFE47A0"/>
    <w:rsid w:val="6C051A9E"/>
    <w:rsid w:val="6C075038"/>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1</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2023-06-02T06:43:00Z</cp:lastPrinted>
  <dcterms:modified xsi:type="dcterms:W3CDTF">2023-06-02T07:52:01Z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DEC8EC9BC3BD44CEBCC7FCA3B5ED3A55</vt:lpwstr>
  </property>
</Properties>
</file>